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A70CC6">
        <w:rPr>
          <w:rFonts w:asciiTheme="minorHAnsi" w:hAnsiTheme="minorHAnsi" w:cstheme="minorHAnsi"/>
          <w:b/>
          <w:i/>
          <w:sz w:val="28"/>
          <w:szCs w:val="22"/>
        </w:rPr>
        <w:t>4</w:t>
      </w:r>
      <w:r w:rsidR="00462F09" w:rsidRPr="00523DAD">
        <w:rPr>
          <w:rFonts w:asciiTheme="minorHAnsi" w:hAnsiTheme="minorHAnsi" w:cstheme="minorHAnsi"/>
          <w:b/>
          <w:i/>
          <w:sz w:val="28"/>
          <w:szCs w:val="22"/>
        </w:rPr>
        <w:t>/202</w:t>
      </w:r>
      <w:r w:rsidRPr="00523DAD">
        <w:rPr>
          <w:rFonts w:asciiTheme="minorHAnsi" w:hAnsiTheme="minorHAnsi" w:cstheme="minorHAnsi"/>
          <w:b/>
          <w:i/>
          <w:sz w:val="28"/>
          <w:szCs w:val="22"/>
        </w:rPr>
        <w:t>1</w:t>
      </w:r>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A70CC6">
        <w:rPr>
          <w:rFonts w:asciiTheme="minorHAnsi" w:hAnsiTheme="minorHAnsi" w:cstheme="minorHAnsi"/>
          <w:b/>
          <w:i/>
          <w:sz w:val="22"/>
          <w:szCs w:val="22"/>
        </w:rPr>
        <w:t>Mäso a mäsové výrobky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A70CC6">
        <w:rPr>
          <w:rFonts w:asciiTheme="minorHAnsi" w:hAnsiTheme="minorHAnsi" w:cstheme="minorHAnsi"/>
          <w:b/>
          <w:i/>
          <w:sz w:val="22"/>
          <w:szCs w:val="22"/>
        </w:rPr>
        <w:t>Mäso a mäsové výrobky</w:t>
      </w:r>
      <w:bookmarkStart w:id="0" w:name="_GoBack"/>
      <w:bookmarkEnd w:id="0"/>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91" w:rsidRDefault="004F6091" w:rsidP="00D8636D">
      <w:r>
        <w:separator/>
      </w:r>
    </w:p>
  </w:endnote>
  <w:endnote w:type="continuationSeparator" w:id="0">
    <w:p w:rsidR="004F6091" w:rsidRDefault="004F6091"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91" w:rsidRDefault="004F6091" w:rsidP="00D8636D">
      <w:r>
        <w:separator/>
      </w:r>
    </w:p>
  </w:footnote>
  <w:footnote w:type="continuationSeparator" w:id="0">
    <w:p w:rsidR="004F6091" w:rsidRDefault="004F6091"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1E62B8"/>
    <w:rsid w:val="00215FF3"/>
    <w:rsid w:val="0027129F"/>
    <w:rsid w:val="002B6CFA"/>
    <w:rsid w:val="00304439"/>
    <w:rsid w:val="004019E8"/>
    <w:rsid w:val="00407838"/>
    <w:rsid w:val="00415A6C"/>
    <w:rsid w:val="00462F09"/>
    <w:rsid w:val="00467D7A"/>
    <w:rsid w:val="004863A3"/>
    <w:rsid w:val="004F6091"/>
    <w:rsid w:val="00523DAD"/>
    <w:rsid w:val="00530527"/>
    <w:rsid w:val="005563D3"/>
    <w:rsid w:val="00595575"/>
    <w:rsid w:val="005A7236"/>
    <w:rsid w:val="00604450"/>
    <w:rsid w:val="00655C71"/>
    <w:rsid w:val="00661E4A"/>
    <w:rsid w:val="006C3984"/>
    <w:rsid w:val="00710D5D"/>
    <w:rsid w:val="00715983"/>
    <w:rsid w:val="00777E9F"/>
    <w:rsid w:val="007C79AB"/>
    <w:rsid w:val="008546A0"/>
    <w:rsid w:val="008E2260"/>
    <w:rsid w:val="008F36EB"/>
    <w:rsid w:val="00966BEB"/>
    <w:rsid w:val="00992C33"/>
    <w:rsid w:val="009C35C0"/>
    <w:rsid w:val="009D10A5"/>
    <w:rsid w:val="00A047DC"/>
    <w:rsid w:val="00A40C0B"/>
    <w:rsid w:val="00A61004"/>
    <w:rsid w:val="00A70CC6"/>
    <w:rsid w:val="00BC425D"/>
    <w:rsid w:val="00C00689"/>
    <w:rsid w:val="00D5634C"/>
    <w:rsid w:val="00D8636D"/>
    <w:rsid w:val="00DE0E2C"/>
    <w:rsid w:val="00E26E1D"/>
    <w:rsid w:val="00E4574B"/>
    <w:rsid w:val="00E472A1"/>
    <w:rsid w:val="00EB7BBA"/>
    <w:rsid w:val="00ED3C84"/>
    <w:rsid w:val="00EF3777"/>
    <w:rsid w:val="00EF4A2F"/>
    <w:rsid w:val="00F24B54"/>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5574"/>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D711-14B5-450E-AC65-3B292745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1758</Words>
  <Characters>10024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4</cp:revision>
  <cp:lastPrinted>2021-12-06T11:04:00Z</cp:lastPrinted>
  <dcterms:created xsi:type="dcterms:W3CDTF">2021-12-13T14:57:00Z</dcterms:created>
  <dcterms:modified xsi:type="dcterms:W3CDTF">2021-12-13T15:04:00Z</dcterms:modified>
</cp:coreProperties>
</file>